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4B620" w14:textId="77777777" w:rsidR="00942002" w:rsidRDefault="00942002" w:rsidP="00942002">
      <w:pPr>
        <w:spacing w:line="360" w:lineRule="auto"/>
        <w:ind w:firstLine="720"/>
        <w:jc w:val="both"/>
        <w:rPr>
          <w:rFonts w:asciiTheme="majorBidi" w:hAnsiTheme="majorBidi" w:cstheme="majorBidi"/>
          <w:b/>
          <w:bCs/>
          <w:sz w:val="24"/>
          <w:szCs w:val="24"/>
          <w:lang w:val="fr-FR"/>
        </w:rPr>
      </w:pPr>
      <w:r>
        <w:rPr>
          <w:rFonts w:asciiTheme="majorBidi" w:hAnsiTheme="majorBidi" w:cstheme="majorBidi"/>
          <w:b/>
          <w:bCs/>
          <w:sz w:val="24"/>
          <w:szCs w:val="24"/>
          <w:lang w:val="fr-FR"/>
        </w:rPr>
        <w:t>R</w:t>
      </w:r>
      <w:r>
        <w:rPr>
          <w:rFonts w:asciiTheme="majorBidi" w:hAnsiTheme="majorBidi" w:cstheme="majorBidi"/>
          <w:b/>
          <w:bCs/>
          <w:sz w:val="24"/>
          <w:szCs w:val="24"/>
          <w:lang w:val="fr-FR"/>
        </w:rPr>
        <w:t>1</w:t>
      </w:r>
      <w:r>
        <w:rPr>
          <w:rFonts w:asciiTheme="majorBidi" w:hAnsiTheme="majorBidi" w:cstheme="majorBidi"/>
          <w:b/>
          <w:bCs/>
          <w:sz w:val="24"/>
          <w:szCs w:val="24"/>
          <w:lang w:val="fr-FR"/>
        </w:rPr>
        <w:t xml:space="preserve">/ </w:t>
      </w:r>
      <w:r>
        <w:rPr>
          <w:rFonts w:asciiTheme="majorBidi" w:hAnsiTheme="majorBidi" w:cstheme="majorBidi"/>
          <w:b/>
          <w:bCs/>
          <w:sz w:val="24"/>
          <w:szCs w:val="24"/>
          <w:lang w:val="fr-FR"/>
        </w:rPr>
        <w:t>définitions :</w:t>
      </w:r>
    </w:p>
    <w:p w14:paraId="266B96BC" w14:textId="77777777" w:rsidR="00942002" w:rsidRPr="00942002" w:rsidRDefault="00942002" w:rsidP="00942002">
      <w:pPr>
        <w:pStyle w:val="Default"/>
        <w:numPr>
          <w:ilvl w:val="0"/>
          <w:numId w:val="1"/>
        </w:numPr>
        <w:rPr>
          <w:lang w:val="fr-FR"/>
        </w:rPr>
      </w:pPr>
      <w:r>
        <w:rPr>
          <w:lang w:val="fr-FR"/>
        </w:rPr>
        <w:t>Argiles :</w:t>
      </w:r>
    </w:p>
    <w:p w14:paraId="08826B1D" w14:textId="77777777" w:rsidR="00942002" w:rsidRDefault="00942002" w:rsidP="00942002">
      <w:pPr>
        <w:pStyle w:val="Default"/>
        <w:rPr>
          <w:sz w:val="23"/>
          <w:szCs w:val="23"/>
        </w:rPr>
      </w:pPr>
      <w:r>
        <w:t xml:space="preserve"> </w:t>
      </w:r>
      <w:r>
        <w:rPr>
          <w:sz w:val="23"/>
          <w:szCs w:val="23"/>
          <w:lang w:val="fr-FR"/>
        </w:rPr>
        <w:t>A</w:t>
      </w:r>
      <w:r>
        <w:rPr>
          <w:sz w:val="23"/>
          <w:szCs w:val="23"/>
        </w:rPr>
        <w:t xml:space="preserve">u sens agronomique, l’argile est la fraction minérale du sol dont les particules ont une taille &lt; 2μm. </w:t>
      </w:r>
    </w:p>
    <w:p w14:paraId="0E53EF96" w14:textId="77777777" w:rsidR="00942002" w:rsidRDefault="00942002" w:rsidP="00942002">
      <w:pPr>
        <w:spacing w:line="360" w:lineRule="auto"/>
        <w:jc w:val="both"/>
        <w:rPr>
          <w:sz w:val="23"/>
          <w:szCs w:val="23"/>
        </w:rPr>
      </w:pPr>
      <w:r>
        <w:rPr>
          <w:sz w:val="23"/>
          <w:szCs w:val="23"/>
          <w:lang w:val="fr-FR"/>
        </w:rPr>
        <w:t>A</w:t>
      </w:r>
      <w:r>
        <w:rPr>
          <w:sz w:val="23"/>
          <w:szCs w:val="23"/>
        </w:rPr>
        <w:t xml:space="preserve">u sens minéralogique, les argiles sont des </w:t>
      </w:r>
      <w:proofErr w:type="spellStart"/>
      <w:r>
        <w:rPr>
          <w:b/>
          <w:bCs/>
          <w:i/>
          <w:iCs/>
          <w:sz w:val="23"/>
          <w:szCs w:val="23"/>
        </w:rPr>
        <w:t>phylosilicatées</w:t>
      </w:r>
      <w:proofErr w:type="spellEnd"/>
      <w:r>
        <w:rPr>
          <w:b/>
          <w:bCs/>
          <w:i/>
          <w:iCs/>
          <w:sz w:val="23"/>
          <w:szCs w:val="23"/>
        </w:rPr>
        <w:t xml:space="preserve"> </w:t>
      </w:r>
      <w:r>
        <w:rPr>
          <w:sz w:val="23"/>
          <w:szCs w:val="23"/>
        </w:rPr>
        <w:t>dont l’unité de base est un feuillet de structure bien définie.</w:t>
      </w:r>
    </w:p>
    <w:p w14:paraId="451AFBDF" w14:textId="77777777" w:rsidR="00942002" w:rsidRPr="00942002" w:rsidRDefault="00942002" w:rsidP="00942002">
      <w:pPr>
        <w:pStyle w:val="ListParagraph"/>
        <w:numPr>
          <w:ilvl w:val="0"/>
          <w:numId w:val="1"/>
        </w:numPr>
        <w:spacing w:line="360" w:lineRule="auto"/>
        <w:jc w:val="both"/>
        <w:rPr>
          <w:rFonts w:asciiTheme="majorBidi" w:hAnsiTheme="majorBidi" w:cstheme="majorBidi"/>
          <w:b/>
          <w:bCs/>
          <w:sz w:val="24"/>
          <w:szCs w:val="24"/>
          <w:lang w:val="fr-FR"/>
        </w:rPr>
      </w:pPr>
      <w:bookmarkStart w:id="0" w:name="_GoBack"/>
      <w:bookmarkEnd w:id="0"/>
    </w:p>
    <w:p w14:paraId="373D8490" w14:textId="77777777" w:rsidR="00942002" w:rsidRPr="00942002" w:rsidRDefault="00942002" w:rsidP="00942002">
      <w:pPr>
        <w:spacing w:line="360" w:lineRule="auto"/>
        <w:ind w:firstLine="720"/>
        <w:jc w:val="both"/>
        <w:rPr>
          <w:rFonts w:asciiTheme="majorBidi" w:hAnsiTheme="majorBidi" w:cstheme="majorBidi"/>
          <w:b/>
          <w:bCs/>
          <w:sz w:val="24"/>
          <w:szCs w:val="24"/>
        </w:rPr>
      </w:pPr>
      <w:r>
        <w:rPr>
          <w:rFonts w:asciiTheme="majorBidi" w:hAnsiTheme="majorBidi" w:cstheme="majorBidi"/>
          <w:b/>
          <w:bCs/>
          <w:sz w:val="24"/>
          <w:szCs w:val="24"/>
          <w:lang w:val="fr-FR"/>
        </w:rPr>
        <w:t xml:space="preserve">R2/ </w:t>
      </w:r>
      <w:r w:rsidRPr="00942002">
        <w:rPr>
          <w:rFonts w:asciiTheme="majorBidi" w:hAnsiTheme="majorBidi" w:cstheme="majorBidi"/>
          <w:b/>
          <w:bCs/>
          <w:sz w:val="24"/>
          <w:szCs w:val="24"/>
        </w:rPr>
        <w:t>Structure compacte (continu) :</w:t>
      </w:r>
    </w:p>
    <w:p w14:paraId="4E134707" w14:textId="77777777" w:rsidR="00942002" w:rsidRPr="00942002" w:rsidRDefault="00942002" w:rsidP="00942002">
      <w:pPr>
        <w:spacing w:line="360" w:lineRule="auto"/>
        <w:jc w:val="both"/>
        <w:rPr>
          <w:rFonts w:asciiTheme="majorBidi" w:hAnsiTheme="majorBidi" w:cstheme="majorBidi"/>
          <w:sz w:val="24"/>
          <w:szCs w:val="24"/>
        </w:rPr>
      </w:pPr>
      <w:r w:rsidRPr="00942002">
        <w:rPr>
          <w:rFonts w:asciiTheme="majorBidi" w:hAnsiTheme="majorBidi" w:cstheme="majorBidi"/>
          <w:sz w:val="24"/>
          <w:szCs w:val="24"/>
        </w:rPr>
        <w:t>Toute la couche du sol ou la face d’un profil (ou d’un horizon) forme alors un bloc unique. À l’opposé de la structure particulaire, elle limite fortement l’infiltration de l’eau dans le sol qui s’engorge on le dit saturé en eau. Ce sol s’appauvrit en oxygène et devient difficilement pénétrable par les racines. Cependant, certaines plantes tolèrent ces conditions de vie.</w:t>
      </w:r>
    </w:p>
    <w:p w14:paraId="5498B2A8" w14:textId="77777777" w:rsidR="00942002" w:rsidRPr="00942002" w:rsidRDefault="00942002" w:rsidP="00942002">
      <w:pPr>
        <w:spacing w:line="360" w:lineRule="auto"/>
        <w:jc w:val="both"/>
        <w:rPr>
          <w:rFonts w:asciiTheme="majorBidi" w:hAnsiTheme="majorBidi" w:cstheme="majorBidi"/>
          <w:sz w:val="24"/>
          <w:szCs w:val="24"/>
        </w:rPr>
      </w:pPr>
      <w:r w:rsidRPr="00942002">
        <w:rPr>
          <w:rFonts w:asciiTheme="majorBidi" w:hAnsiTheme="majorBidi" w:cstheme="majorBidi"/>
          <w:sz w:val="24"/>
          <w:szCs w:val="24"/>
        </w:rPr>
        <w:t>Il y à trois types de la structure continue :</w:t>
      </w:r>
    </w:p>
    <w:p w14:paraId="010AAC14" w14:textId="77777777" w:rsidR="00942002" w:rsidRPr="00942002" w:rsidRDefault="00942002" w:rsidP="00942002">
      <w:pPr>
        <w:spacing w:line="360" w:lineRule="auto"/>
        <w:jc w:val="both"/>
        <w:rPr>
          <w:rFonts w:asciiTheme="majorBidi" w:hAnsiTheme="majorBidi" w:cstheme="majorBidi"/>
          <w:sz w:val="24"/>
          <w:szCs w:val="24"/>
        </w:rPr>
      </w:pPr>
      <w:r w:rsidRPr="00942002">
        <w:rPr>
          <w:rFonts w:asciiTheme="majorBidi" w:hAnsiTheme="majorBidi" w:cstheme="majorBidi"/>
          <w:sz w:val="24"/>
          <w:szCs w:val="24"/>
        </w:rPr>
        <w:t>- La structure continue de type ciment : la majorité des éléments sont très fins.</w:t>
      </w:r>
    </w:p>
    <w:p w14:paraId="117834F7" w14:textId="77777777" w:rsidR="00942002" w:rsidRPr="00942002" w:rsidRDefault="00942002" w:rsidP="00942002">
      <w:pPr>
        <w:spacing w:line="360" w:lineRule="auto"/>
        <w:jc w:val="both"/>
        <w:rPr>
          <w:rFonts w:asciiTheme="majorBidi" w:hAnsiTheme="majorBidi" w:cstheme="majorBidi"/>
          <w:sz w:val="24"/>
          <w:szCs w:val="24"/>
        </w:rPr>
      </w:pPr>
      <w:r w:rsidRPr="00942002">
        <w:rPr>
          <w:rFonts w:asciiTheme="majorBidi" w:hAnsiTheme="majorBidi" w:cstheme="majorBidi"/>
          <w:sz w:val="24"/>
          <w:szCs w:val="24"/>
        </w:rPr>
        <w:t>- La structure continue de type grès : ou les éléments sableux sont prédominants en volume</w:t>
      </w:r>
    </w:p>
    <w:p w14:paraId="4B9495F6" w14:textId="77777777" w:rsidR="00AD05EA" w:rsidRDefault="00942002" w:rsidP="00942002">
      <w:pPr>
        <w:spacing w:line="360" w:lineRule="auto"/>
        <w:jc w:val="both"/>
        <w:rPr>
          <w:rFonts w:asciiTheme="majorBidi" w:hAnsiTheme="majorBidi" w:cstheme="majorBidi"/>
          <w:sz w:val="24"/>
          <w:szCs w:val="24"/>
        </w:rPr>
      </w:pPr>
      <w:r w:rsidRPr="00942002">
        <w:rPr>
          <w:rFonts w:asciiTheme="majorBidi" w:hAnsiTheme="majorBidi" w:cstheme="majorBidi"/>
          <w:sz w:val="24"/>
          <w:szCs w:val="24"/>
        </w:rPr>
        <w:t>- La structure continue de type poudingue ou brèche : ou les éléments grossiers sont prédominants en volume</w:t>
      </w:r>
    </w:p>
    <w:p w14:paraId="1E49E67C" w14:textId="77777777" w:rsidR="00942002" w:rsidRDefault="00942002" w:rsidP="00942002">
      <w:pPr>
        <w:spacing w:line="360" w:lineRule="auto"/>
        <w:ind w:firstLine="720"/>
        <w:jc w:val="both"/>
        <w:rPr>
          <w:rFonts w:asciiTheme="majorBidi" w:hAnsiTheme="majorBidi" w:cstheme="majorBidi"/>
          <w:b/>
          <w:bCs/>
          <w:sz w:val="24"/>
          <w:szCs w:val="24"/>
          <w:lang w:val="fr-FR"/>
        </w:rPr>
      </w:pPr>
      <w:r>
        <w:rPr>
          <w:rFonts w:asciiTheme="majorBidi" w:hAnsiTheme="majorBidi" w:cstheme="majorBidi"/>
          <w:b/>
          <w:bCs/>
          <w:sz w:val="24"/>
          <w:szCs w:val="24"/>
          <w:lang w:val="fr-FR"/>
        </w:rPr>
        <w:t xml:space="preserve">R3/ </w:t>
      </w:r>
      <w:r w:rsidRPr="00942002">
        <w:rPr>
          <w:rFonts w:asciiTheme="majorBidi" w:hAnsiTheme="majorBidi" w:cstheme="majorBidi"/>
          <w:b/>
          <w:bCs/>
          <w:sz w:val="24"/>
          <w:szCs w:val="24"/>
          <w:lang w:val="fr-FR"/>
        </w:rPr>
        <w:t>Les facteurs de dégradation de la structure</w:t>
      </w:r>
    </w:p>
    <w:p w14:paraId="141BD241" w14:textId="77777777" w:rsidR="00942002" w:rsidRPr="00942002" w:rsidRDefault="00942002" w:rsidP="00942002">
      <w:pPr>
        <w:pStyle w:val="Default"/>
        <w:spacing w:line="360" w:lineRule="auto"/>
        <w:jc w:val="both"/>
        <w:rPr>
          <w:rFonts w:asciiTheme="majorBidi" w:hAnsiTheme="majorBidi" w:cstheme="majorBidi"/>
        </w:rPr>
      </w:pPr>
      <w:r>
        <w:rPr>
          <w:rFonts w:asciiTheme="majorBidi" w:hAnsiTheme="majorBidi" w:cstheme="majorBidi"/>
          <w:b/>
          <w:bCs/>
          <w:lang w:val="fr-FR"/>
        </w:rPr>
        <w:t xml:space="preserve">1. </w:t>
      </w:r>
      <w:r w:rsidRPr="00942002">
        <w:rPr>
          <w:rFonts w:asciiTheme="majorBidi" w:hAnsiTheme="majorBidi" w:cstheme="majorBidi"/>
          <w:b/>
          <w:bCs/>
        </w:rPr>
        <w:t xml:space="preserve">La battance : </w:t>
      </w:r>
      <w:r w:rsidRPr="00942002">
        <w:rPr>
          <w:rFonts w:asciiTheme="majorBidi" w:hAnsiTheme="majorBidi" w:cstheme="majorBidi"/>
        </w:rPr>
        <w:t xml:space="preserve">l’impact des gouttes de pluie (effet </w:t>
      </w:r>
      <w:proofErr w:type="spellStart"/>
      <w:r w:rsidRPr="00942002">
        <w:rPr>
          <w:rFonts w:asciiTheme="majorBidi" w:hAnsiTheme="majorBidi" w:cstheme="majorBidi"/>
        </w:rPr>
        <w:t>splash</w:t>
      </w:r>
      <w:proofErr w:type="spellEnd"/>
      <w:r w:rsidRPr="00942002">
        <w:rPr>
          <w:rFonts w:asciiTheme="majorBidi" w:hAnsiTheme="majorBidi" w:cstheme="majorBidi"/>
        </w:rPr>
        <w:t>), provoque le délitement (casse) des mottes jusqu’à l’apparition et l’isolement des particules élémentaires. Le transport des particules élémentaires mises en suspension et leur dépôt plus loin formant une surface lisse de l’ordre de quelques cm, appelée croûte de battance. Cette croute acquise après</w:t>
      </w:r>
      <w:r w:rsidRPr="00942002">
        <w:rPr>
          <w:rFonts w:asciiTheme="majorBidi" w:hAnsiTheme="majorBidi" w:cstheme="majorBidi"/>
          <w:lang w:val="fr-FR"/>
        </w:rPr>
        <w:t xml:space="preserve"> </w:t>
      </w:r>
      <w:r w:rsidRPr="00942002">
        <w:rPr>
          <w:rFonts w:asciiTheme="majorBidi" w:hAnsiTheme="majorBidi" w:cstheme="majorBidi"/>
        </w:rPr>
        <w:t xml:space="preserve">dessiccation une très forte cohésion, qui constituera un obstacle sérieux au transfert des fluides et à la levée végétative. </w:t>
      </w:r>
    </w:p>
    <w:p w14:paraId="0A5DCBBA" w14:textId="77777777" w:rsidR="00942002" w:rsidRPr="00942002" w:rsidRDefault="00942002" w:rsidP="00942002">
      <w:pPr>
        <w:pStyle w:val="Default"/>
        <w:spacing w:line="360" w:lineRule="auto"/>
        <w:jc w:val="both"/>
        <w:rPr>
          <w:rFonts w:asciiTheme="majorBidi" w:hAnsiTheme="majorBidi" w:cstheme="majorBidi"/>
        </w:rPr>
      </w:pPr>
      <w:r w:rsidRPr="00942002">
        <w:rPr>
          <w:rFonts w:asciiTheme="majorBidi" w:hAnsiTheme="majorBidi" w:cstheme="majorBidi"/>
          <w:b/>
          <w:bCs/>
        </w:rPr>
        <w:t xml:space="preserve">2. La prise en masse : </w:t>
      </w:r>
      <w:r w:rsidRPr="00942002">
        <w:rPr>
          <w:rFonts w:asciiTheme="majorBidi" w:hAnsiTheme="majorBidi" w:cstheme="majorBidi"/>
        </w:rPr>
        <w:t xml:space="preserve">elle à lieu généralement pendant les périodes pluvieuses à excès pluviométrique et concerne particulièrement l’horizon travaillé (labouré). Après dessiccation, les particules se ressoudent pour donner une structure continue compacte à forte cohésion. </w:t>
      </w:r>
    </w:p>
    <w:p w14:paraId="4B5D5651" w14:textId="77777777" w:rsidR="00942002" w:rsidRPr="00942002" w:rsidRDefault="00942002" w:rsidP="00942002">
      <w:pPr>
        <w:pStyle w:val="Default"/>
        <w:spacing w:line="360" w:lineRule="auto"/>
        <w:jc w:val="both"/>
        <w:rPr>
          <w:rFonts w:asciiTheme="majorBidi" w:hAnsiTheme="majorBidi" w:cstheme="majorBidi"/>
        </w:rPr>
      </w:pPr>
      <w:r w:rsidRPr="00942002">
        <w:rPr>
          <w:rFonts w:asciiTheme="majorBidi" w:hAnsiTheme="majorBidi" w:cstheme="majorBidi"/>
          <w:b/>
          <w:bCs/>
        </w:rPr>
        <w:t>3. L’action de gel dégel :</w:t>
      </w:r>
      <w:r w:rsidRPr="00942002">
        <w:rPr>
          <w:rFonts w:asciiTheme="majorBidi" w:hAnsiTheme="majorBidi" w:cstheme="majorBidi"/>
        </w:rPr>
        <w:t xml:space="preserve"> Pendant la période du dégel, l’eau remonte des horizons sous-jacents vers l’horizon superficiel encore gelé, alors par un dégel humide, le sol est transformé brutalement en une boue. </w:t>
      </w:r>
    </w:p>
    <w:p w14:paraId="56C540A9" w14:textId="77777777" w:rsidR="00942002" w:rsidRDefault="00942002" w:rsidP="00942002">
      <w:pPr>
        <w:spacing w:line="360" w:lineRule="auto"/>
        <w:jc w:val="both"/>
        <w:rPr>
          <w:rFonts w:asciiTheme="majorBidi" w:hAnsiTheme="majorBidi" w:cstheme="majorBidi"/>
          <w:sz w:val="24"/>
          <w:szCs w:val="24"/>
        </w:rPr>
      </w:pPr>
      <w:r w:rsidRPr="00942002">
        <w:rPr>
          <w:rFonts w:asciiTheme="majorBidi" w:hAnsiTheme="majorBidi" w:cstheme="majorBidi"/>
          <w:b/>
          <w:bCs/>
          <w:sz w:val="24"/>
          <w:szCs w:val="24"/>
        </w:rPr>
        <w:lastRenderedPageBreak/>
        <w:t xml:space="preserve">4. Le tassement : </w:t>
      </w:r>
      <w:r w:rsidRPr="00942002">
        <w:rPr>
          <w:rFonts w:asciiTheme="majorBidi" w:hAnsiTheme="majorBidi" w:cstheme="majorBidi"/>
          <w:sz w:val="24"/>
          <w:szCs w:val="24"/>
        </w:rPr>
        <w:t>peut résulter de l’action anthropique (action des outils de travail du sol, des pneumatiques, piétinement).</w:t>
      </w:r>
    </w:p>
    <w:p w14:paraId="684E6810" w14:textId="77777777" w:rsidR="00942002" w:rsidRPr="00942002" w:rsidRDefault="00942002" w:rsidP="00942002">
      <w:pPr>
        <w:pStyle w:val="Default"/>
        <w:spacing w:line="360" w:lineRule="auto"/>
        <w:rPr>
          <w:rFonts w:asciiTheme="majorBidi" w:hAnsiTheme="majorBidi" w:cstheme="majorBidi"/>
          <w:b/>
          <w:bCs/>
        </w:rPr>
      </w:pPr>
      <w:r>
        <w:rPr>
          <w:rFonts w:asciiTheme="majorBidi" w:hAnsiTheme="majorBidi" w:cstheme="majorBidi"/>
          <w:b/>
          <w:bCs/>
          <w:sz w:val="28"/>
          <w:szCs w:val="28"/>
          <w:lang w:val="fr-FR"/>
        </w:rPr>
        <w:tab/>
        <w:t xml:space="preserve">R4/ </w:t>
      </w:r>
      <w:r w:rsidRPr="00942002">
        <w:rPr>
          <w:rFonts w:asciiTheme="majorBidi" w:hAnsiTheme="majorBidi" w:cstheme="majorBidi"/>
          <w:b/>
          <w:bCs/>
        </w:rPr>
        <w:t xml:space="preserve">Teneur en eau massique </w:t>
      </w:r>
    </w:p>
    <w:p w14:paraId="22FB1165" w14:textId="77777777" w:rsidR="00942002" w:rsidRPr="00942002" w:rsidRDefault="00942002" w:rsidP="00942002">
      <w:pPr>
        <w:pStyle w:val="Default"/>
        <w:spacing w:line="360" w:lineRule="auto"/>
        <w:rPr>
          <w:rFonts w:asciiTheme="majorBidi" w:hAnsiTheme="majorBidi" w:cstheme="majorBidi"/>
        </w:rPr>
      </w:pPr>
      <w:r w:rsidRPr="00942002">
        <w:rPr>
          <w:rFonts w:asciiTheme="majorBidi" w:hAnsiTheme="majorBidi" w:cstheme="majorBidi"/>
          <w:b/>
          <w:bCs/>
        </w:rPr>
        <w:t xml:space="preserve"> </w:t>
      </w:r>
      <w:r w:rsidRPr="00942002">
        <w:rPr>
          <w:rFonts w:asciiTheme="majorBidi" w:hAnsiTheme="majorBidi" w:cstheme="majorBidi"/>
        </w:rPr>
        <w:t xml:space="preserve">La teneur en eau massique </w:t>
      </w:r>
      <w:r w:rsidRPr="00942002">
        <w:rPr>
          <w:rFonts w:asciiTheme="majorBidi" w:hAnsiTheme="majorBidi" w:cstheme="majorBidi"/>
          <w:i/>
          <w:iCs/>
        </w:rPr>
        <w:t xml:space="preserve">W </w:t>
      </w:r>
      <w:r w:rsidRPr="00942002">
        <w:rPr>
          <w:rFonts w:asciiTheme="majorBidi" w:hAnsiTheme="majorBidi" w:cstheme="majorBidi"/>
        </w:rPr>
        <w:t xml:space="preserve">(appelée aussi pondérale) correspond au rapport entre la masse d’eau </w:t>
      </w:r>
      <w:proofErr w:type="spellStart"/>
      <w:r w:rsidRPr="00942002">
        <w:rPr>
          <w:rFonts w:asciiTheme="majorBidi" w:hAnsiTheme="majorBidi" w:cstheme="majorBidi"/>
          <w:i/>
          <w:iCs/>
        </w:rPr>
        <w:t>M</w:t>
      </w:r>
      <w:r w:rsidRPr="00942002">
        <w:rPr>
          <w:rFonts w:asciiTheme="majorBidi" w:hAnsiTheme="majorBidi" w:cstheme="majorBidi"/>
        </w:rPr>
        <w:t>w</w:t>
      </w:r>
      <w:proofErr w:type="spellEnd"/>
      <w:r w:rsidRPr="00942002">
        <w:rPr>
          <w:rFonts w:asciiTheme="majorBidi" w:hAnsiTheme="majorBidi" w:cstheme="majorBidi"/>
        </w:rPr>
        <w:t xml:space="preserve"> contenue dans le sol et la masse du sol sec </w:t>
      </w:r>
      <w:r w:rsidRPr="00942002">
        <w:rPr>
          <w:rFonts w:asciiTheme="majorBidi" w:hAnsiTheme="majorBidi" w:cstheme="majorBidi"/>
          <w:i/>
          <w:iCs/>
        </w:rPr>
        <w:t xml:space="preserve">Ms </w:t>
      </w:r>
      <w:r w:rsidRPr="00942002">
        <w:rPr>
          <w:rFonts w:asciiTheme="majorBidi" w:hAnsiTheme="majorBidi" w:cstheme="majorBidi"/>
        </w:rPr>
        <w:t xml:space="preserve">: </w:t>
      </w:r>
    </w:p>
    <w:p w14:paraId="14D71288" w14:textId="77777777" w:rsidR="00942002" w:rsidRPr="00942002" w:rsidRDefault="00942002" w:rsidP="00942002">
      <w:pPr>
        <w:spacing w:line="360" w:lineRule="auto"/>
        <w:jc w:val="both"/>
        <w:rPr>
          <w:rFonts w:asciiTheme="majorBidi" w:hAnsiTheme="majorBidi" w:cstheme="majorBidi"/>
          <w:b/>
          <w:bCs/>
          <w:sz w:val="24"/>
          <w:szCs w:val="24"/>
          <w:lang w:val="fr-FR"/>
        </w:rPr>
      </w:pPr>
      <w:r w:rsidRPr="00942002">
        <w:rPr>
          <w:rFonts w:asciiTheme="majorBidi" w:hAnsiTheme="majorBidi" w:cstheme="majorBidi"/>
          <w:sz w:val="24"/>
          <w:szCs w:val="24"/>
        </w:rPr>
        <w:t>W %=</w:t>
      </w:r>
      <w:r w:rsidRPr="00942002">
        <w:rPr>
          <w:rFonts w:ascii="Cambria Math" w:hAnsi="Cambria Math" w:cs="Cambria Math"/>
          <w:sz w:val="24"/>
          <w:szCs w:val="24"/>
        </w:rPr>
        <w:t>𝑀𝑤𝑀𝑠</w:t>
      </w:r>
    </w:p>
    <w:p w14:paraId="19EE9FC9" w14:textId="77777777" w:rsidR="00942002" w:rsidRPr="00942002" w:rsidRDefault="00942002" w:rsidP="00942002">
      <w:pPr>
        <w:pStyle w:val="Default"/>
        <w:spacing w:line="360" w:lineRule="auto"/>
        <w:ind w:firstLine="720"/>
        <w:rPr>
          <w:rFonts w:asciiTheme="majorBidi" w:hAnsiTheme="majorBidi" w:cstheme="majorBidi"/>
          <w:b/>
          <w:bCs/>
        </w:rPr>
      </w:pPr>
      <w:r>
        <w:rPr>
          <w:rFonts w:asciiTheme="majorBidi" w:hAnsiTheme="majorBidi" w:cstheme="majorBidi"/>
          <w:b/>
          <w:bCs/>
          <w:lang w:val="fr-FR"/>
        </w:rPr>
        <w:t>R5/</w:t>
      </w:r>
      <w:r w:rsidRPr="00942002">
        <w:rPr>
          <w:rFonts w:asciiTheme="majorBidi" w:hAnsiTheme="majorBidi" w:cstheme="majorBidi"/>
          <w:b/>
          <w:bCs/>
        </w:rPr>
        <w:t xml:space="preserve"> Les forces agissent sur l’eau du sol </w:t>
      </w:r>
    </w:p>
    <w:p w14:paraId="72749438" w14:textId="77777777" w:rsidR="00942002" w:rsidRPr="00942002" w:rsidRDefault="00942002" w:rsidP="00942002">
      <w:pPr>
        <w:spacing w:line="360" w:lineRule="auto"/>
        <w:jc w:val="both"/>
        <w:rPr>
          <w:rFonts w:asciiTheme="majorBidi" w:hAnsiTheme="majorBidi" w:cstheme="majorBidi"/>
          <w:sz w:val="32"/>
          <w:szCs w:val="32"/>
          <w:lang w:val="fr-FR"/>
        </w:rPr>
      </w:pPr>
      <w:r w:rsidRPr="00942002">
        <w:rPr>
          <w:rFonts w:asciiTheme="majorBidi" w:hAnsiTheme="majorBidi" w:cstheme="majorBidi"/>
          <w:sz w:val="24"/>
          <w:szCs w:val="24"/>
        </w:rPr>
        <w:t>Trois forces agissent sur l’eau du sol : la gravité P, la succion des racines S, et la succion de la terre F.</w:t>
      </w:r>
    </w:p>
    <w:sectPr w:rsidR="00942002" w:rsidRPr="00942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altName w:val="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227BE"/>
    <w:multiLevelType w:val="hybridMultilevel"/>
    <w:tmpl w:val="FA8455B6"/>
    <w:lvl w:ilvl="0" w:tplc="07B2748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02"/>
    <w:rsid w:val="00942002"/>
    <w:rsid w:val="00AD05EA"/>
  </w:rsids>
  <m:mathPr>
    <m:mathFont m:val="Cambria Math"/>
    <m:brkBin m:val="before"/>
    <m:brkBinSub m:val="--"/>
    <m:smallFrac m:val="0"/>
    <m:dispDef/>
    <m:lMargin m:val="0"/>
    <m:rMargin m:val="0"/>
    <m:defJc m:val="centerGroup"/>
    <m:wrapIndent m:val="1440"/>
    <m:intLim m:val="subSup"/>
    <m:naryLim m:val="undOvr"/>
  </m:mathPr>
  <w:themeFontLang w:val="fr-D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8CA4"/>
  <w15:chartTrackingRefBased/>
  <w15:docId w15:val="{DEE7F281-3388-48E4-B127-B03DCC4E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D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002"/>
    <w:pPr>
      <w:autoSpaceDE w:val="0"/>
      <w:autoSpaceDN w:val="0"/>
      <w:adjustRightInd w:val="0"/>
      <w:spacing w:after="0" w:line="240" w:lineRule="auto"/>
    </w:pPr>
    <w:rPr>
      <w:rFonts w:ascii="Times New Roman" w:hAnsi="Times New Roman" w:cs="Times New Roman"/>
      <w:color w:val="000000"/>
      <w:sz w:val="24"/>
      <w:szCs w:val="24"/>
      <w:lang w:val="fr-DZ"/>
    </w:rPr>
  </w:style>
  <w:style w:type="paragraph" w:styleId="ListParagraph">
    <w:name w:val="List Paragraph"/>
    <w:basedOn w:val="Normal"/>
    <w:uiPriority w:val="34"/>
    <w:qFormat/>
    <w:rsid w:val="0094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safa</dc:creator>
  <cp:keywords/>
  <dc:description/>
  <cp:lastModifiedBy>omar safa</cp:lastModifiedBy>
  <cp:revision>1</cp:revision>
  <dcterms:created xsi:type="dcterms:W3CDTF">2024-01-12T20:39:00Z</dcterms:created>
  <dcterms:modified xsi:type="dcterms:W3CDTF">2024-01-12T20:59:00Z</dcterms:modified>
</cp:coreProperties>
</file>